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Celebra el Día Internacional del Tequila con Casa Dragones</w:t>
      </w:r>
    </w:p>
    <w:p w:rsidR="00000000" w:rsidDel="00000000" w:rsidP="00000000" w:rsidRDefault="00000000" w:rsidRPr="00000000" w14:paraId="00000003">
      <w:pPr>
        <w:spacing w:line="240" w:lineRule="auto"/>
        <w:ind w:left="0" w:firstLine="0"/>
        <w:jc w:val="left"/>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18 de julio de 2022.- </w:t>
      </w:r>
      <w:r w:rsidDel="00000000" w:rsidR="00000000" w:rsidRPr="00000000">
        <w:rPr>
          <w:rtl w:val="0"/>
        </w:rPr>
        <w:t xml:space="preserve">El tequila se ha convertido en una carta de presentación de México para el mundo; de ese carácter artesanal tan propio del país, del cuidado en cada detalle y de ese orgullo por aquellas cosas que dan forma a la cultura mexicana. Por ello, este histórico destilado ya se celebra a nivel mundial durante el Día Internacional del Tequila, establecido por la UNESCO para rendir honor a los hipnóticos paisajes del agave y las antiguas instalaciones industriales de Tequila, legado al que Casa Dragones rinde tributo en cada una de sus etiquetas.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Tequila Casa Dragones Joven, por ejemplo, es un tequila 100 de agave azul de edición limitada, producido en pequeños lotes, una mezcla de tequila blanco con tequila extra-añejo, añejado en barricas nuevas de roble americano para que alcance un suave y complejo sabor, perfecto para degustarse solo o para maridar con diversos platillos.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Otra de las expresiones perfectas para celebrar el Día Internacional del Tequila es Casa Dragones Blanco, un tequila 100 por ciento puro de agave azul, producido en pequeños lotes mediante un proceso innovador que se enfoca en la pureza del agave. Nombrado también como “El mejor tequila blanco”, Casa Dragones Blanco ofrece un sabor fresco y suave que puede disfrutarse a la perfección en las rocas o en cocteles de autor.</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otra parte, este 24 de julio es ideal para explorar la tercera expresión que llegó a este distinguido portafolio: Tequila Casa Dragones Añejo, un tequila añejo 100 por ciento de agave azul, que alcanza su carácter distintivo al ser madurado en dos tipos de barricas nuevas de madera, hechas de roble francés y de roble americano, cada una seleccionada por sus particulares características de sabor. Al final del proceso de añejamiento, el contenido de los dos estilos de barricas se mezcla para crear un sabor suave y vanguardista.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Tres expresiones que forman parte de la historia de Tequila Casa Dragones, un productora en pequeños lotes que, durante más de una década, ha redoblado sus esfuerzos para que cada una de sus etiquetas sea símbolo de lo mejor que representa la cultura del tequila, cultura que establecida ya en diversas regiones del mundo, convirtiéndose en una de las bebidas favoritas de millones de personas, quienes seguramente brindarán este Día Internacional del Tequila con una copa de Joven, un perfect serve con Blanco o quizá mariden sus postres favoritos con Añejo.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center"/>
        <w:rPr>
          <w:b w:val="1"/>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2">
      <w:pPr>
        <w:spacing w:line="276" w:lineRule="auto"/>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4">
      <w:pPr>
        <w:spacing w:line="276" w:lineRule="auto"/>
        <w:jc w:val="both"/>
        <w:rPr>
          <w:sz w:val="20"/>
          <w:szCs w:val="20"/>
        </w:rPr>
      </w:pPr>
      <w:r w:rsidDel="00000000" w:rsidR="00000000" w:rsidRPr="00000000">
        <w:rPr>
          <w:rtl w:val="0"/>
        </w:rPr>
      </w:r>
    </w:p>
    <w:p w:rsidR="00000000" w:rsidDel="00000000" w:rsidP="00000000" w:rsidRDefault="00000000" w:rsidRPr="00000000" w14:paraId="00000015">
      <w:pPr>
        <w:spacing w:line="276"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6">
      <w:pPr>
        <w:spacing w:line="276" w:lineRule="auto"/>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19">
      <w:pPr>
        <w:spacing w:line="276" w:lineRule="auto"/>
        <w:jc w:val="both"/>
        <w:rPr>
          <w:b w:val="1"/>
          <w:sz w:val="20"/>
          <w:szCs w:val="20"/>
        </w:rPr>
      </w:pPr>
      <w:hyperlink r:id="rId10">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A">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1C">
      <w:pPr>
        <w:spacing w:line="276" w:lineRule="auto"/>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1E">
      <w:pPr>
        <w:spacing w:line="276" w:lineRule="auto"/>
        <w:jc w:val="both"/>
        <w:rPr>
          <w:sz w:val="20"/>
          <w:szCs w:val="20"/>
        </w:rPr>
      </w:pPr>
      <w:hyperlink r:id="rId11">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1F">
      <w:pPr>
        <w:spacing w:line="276" w:lineRule="auto"/>
        <w:jc w:val="both"/>
        <w:rPr>
          <w:sz w:val="20"/>
          <w:szCs w:val="20"/>
        </w:rPr>
      </w:pPr>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M. + (521) 55 9198 7567</w:t>
      </w:r>
    </w:p>
    <w:p w:rsidR="00000000" w:rsidDel="00000000" w:rsidP="00000000" w:rsidRDefault="00000000" w:rsidRPr="00000000" w14:paraId="00000023">
      <w:pPr>
        <w:spacing w:line="276" w:lineRule="auto"/>
        <w:jc w:val="both"/>
        <w:rPr/>
      </w:pPr>
      <w:hyperlink r:id="rId12">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76" w:lineRule="auto"/>
      <w:jc w:val="center"/>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mare.barquera@another.co" TargetMode="External"/><Relationship Id="rId13" Type="http://schemas.openxmlformats.org/officeDocument/2006/relationships/header" Target="header1.xml"/><Relationship Id="rId12" Type="http://schemas.openxmlformats.org/officeDocument/2006/relationships/hyperlink" Target="mailto:luis.moral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